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28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2025 года</w:t>
            </w:r>
          </w:p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15 час.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мин.</w:t>
            </w:r>
          </w:p>
        </w:tc>
      </w:tr>
    </w:tbl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Юлия Борисовна,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1208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-2803/2025, возбужденное по ч.2 ст.7.27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Дениса Игоревича, </w:t>
      </w:r>
      <w:r>
        <w:rPr>
          <w:rStyle w:val="cat-UserDefinedgrp-4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работающего, 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Чукреев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находясь в помещении магазина «Пятёрочка», расположенном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д.111, путем свободного доступа, из корыстных побуждений тайно похитил товарно-материальные ценности, принадлежащие ООО «Агроторг»: </w:t>
      </w:r>
      <w:r>
        <w:rPr>
          <w:rFonts w:ascii="Times New Roman" w:eastAsia="Times New Roman" w:hAnsi="Times New Roman" w:cs="Times New Roman"/>
          <w:sz w:val="25"/>
          <w:szCs w:val="25"/>
        </w:rPr>
        <w:t>туфли комнатные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стоимостью 641, 99 руб., водка «столичная»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стоимостью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489,99 руб., напиток «</w:t>
      </w:r>
      <w:r>
        <w:rPr>
          <w:rFonts w:ascii="Times New Roman" w:eastAsia="Times New Roman" w:hAnsi="Times New Roman" w:cs="Times New Roman"/>
          <w:sz w:val="25"/>
          <w:szCs w:val="25"/>
        </w:rPr>
        <w:t>Global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Villfge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стоимостью 186,99 руб., пакет «Пятерочка»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стоимостью 9,99 руб., водка «Пять Озер» в количестве 2 штук стоимостью 399,99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причинив своими действиями ООО «Агроторг» материальный ущерб на общую сумму </w:t>
      </w:r>
      <w:r>
        <w:rPr>
          <w:rFonts w:ascii="Times New Roman" w:eastAsia="Times New Roman" w:hAnsi="Times New Roman" w:cs="Times New Roman"/>
          <w:sz w:val="25"/>
          <w:szCs w:val="25"/>
        </w:rPr>
        <w:t>2128,90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Чукреев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помощью защитника не воспользовался,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магазина «Пятерочка» похитил товарно-материальные ценност</w:t>
      </w:r>
      <w:r>
        <w:rPr>
          <w:rFonts w:ascii="Times New Roman" w:eastAsia="Times New Roman" w:hAnsi="Times New Roman" w:cs="Times New Roman"/>
          <w:sz w:val="25"/>
          <w:szCs w:val="25"/>
        </w:rPr>
        <w:t>и, принадлежащие ООО «Агроторг»</w:t>
      </w:r>
      <w:r>
        <w:rPr>
          <w:rFonts w:ascii="Times New Roman" w:eastAsia="Times New Roman" w:hAnsi="Times New Roman" w:cs="Times New Roman"/>
          <w:sz w:val="25"/>
          <w:szCs w:val="25"/>
        </w:rPr>
        <w:t>. Инвалидности 1 и 2 группы не имеет.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5"/>
          <w:szCs w:val="25"/>
        </w:rPr>
        <w:t>Сафонов В.М.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Частью 2 статьи 7.27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5"/>
          <w:szCs w:val="25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1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1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158.1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60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60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 статьи 160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Уголовного кодекса Российской Федерации,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1415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14.15.3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настоящего Кодекса.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хищения из магазина «Пятёрочка», принадлежащего ООО «Агроторг»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5"/>
          <w:szCs w:val="25"/>
        </w:rPr>
        <w:t>399301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-рапортом командира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отделения мобильного взвода №2 ОР ППСП МО МВД России «Ханты-Мансийский» от </w:t>
      </w:r>
      <w:r>
        <w:rPr>
          <w:rFonts w:ascii="Times New Roman" w:eastAsia="Times New Roman" w:hAnsi="Times New Roman" w:cs="Times New Roman"/>
          <w:sz w:val="25"/>
          <w:szCs w:val="25"/>
        </w:rPr>
        <w:t>08.09.2025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сообщении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магазина «Пятёрочка» о мелком хищении по </w:t>
      </w:r>
      <w:r>
        <w:rPr>
          <w:rFonts w:ascii="Times New Roman" w:eastAsia="Times New Roman" w:hAnsi="Times New Roman" w:cs="Times New Roman"/>
          <w:sz w:val="25"/>
          <w:szCs w:val="25"/>
        </w:rPr>
        <w:t>ул.Строителей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д.111;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22 мин.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он </w:t>
      </w:r>
      <w:r>
        <w:rPr>
          <w:rFonts w:ascii="Times New Roman" w:eastAsia="Times New Roman" w:hAnsi="Times New Roman" w:cs="Times New Roman"/>
          <w:sz w:val="25"/>
          <w:szCs w:val="25"/>
        </w:rPr>
        <w:t>находился в магазине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«Пятёрочк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а» по </w:t>
      </w:r>
      <w:r>
        <w:rPr>
          <w:rFonts w:ascii="Times New Roman" w:eastAsia="Times New Roman" w:hAnsi="Times New Roman" w:cs="Times New Roman"/>
          <w:sz w:val="25"/>
          <w:szCs w:val="25"/>
        </w:rPr>
        <w:t>ул.Строителей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д.111, где </w:t>
      </w:r>
      <w:r>
        <w:rPr>
          <w:rFonts w:ascii="Times New Roman" w:eastAsia="Times New Roman" w:hAnsi="Times New Roman" w:cs="Times New Roman"/>
          <w:sz w:val="25"/>
          <w:szCs w:val="25"/>
        </w:rPr>
        <w:t>похитил товары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туфли комнатные, водку «столичная», напиток «</w:t>
      </w:r>
      <w:r>
        <w:rPr>
          <w:rFonts w:ascii="Times New Roman" w:eastAsia="Times New Roman" w:hAnsi="Times New Roman" w:cs="Times New Roman"/>
          <w:sz w:val="25"/>
          <w:szCs w:val="25"/>
        </w:rPr>
        <w:t>Global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Villfge</w:t>
      </w:r>
      <w:r>
        <w:rPr>
          <w:rFonts w:ascii="Times New Roman" w:eastAsia="Times New Roman" w:hAnsi="Times New Roman" w:cs="Times New Roman"/>
          <w:sz w:val="25"/>
          <w:szCs w:val="25"/>
        </w:rPr>
        <w:t>», пакет «Пятерочка», водку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«Пять Озер» в количестве 2 штук,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магазина «Пятёрочка» </w:t>
      </w:r>
      <w:r>
        <w:rPr>
          <w:rFonts w:ascii="Times New Roman" w:eastAsia="Times New Roman" w:hAnsi="Times New Roman" w:cs="Times New Roman"/>
          <w:sz w:val="25"/>
          <w:szCs w:val="25"/>
        </w:rPr>
        <w:t>Кобыкина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хищения из магазина товарно-материальных ценностей;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-справкой об ущербе,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фото</w:t>
      </w:r>
      <w:r>
        <w:rPr>
          <w:rFonts w:ascii="Times New Roman" w:eastAsia="Times New Roman" w:hAnsi="Times New Roman" w:cs="Times New Roman"/>
          <w:sz w:val="25"/>
          <w:szCs w:val="25"/>
        </w:rPr>
        <w:t>фиксацией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мелкого хищения чужого имущества, стоимостью более одной тысячи рублей, но не более двух тысяч пятьсот рублей путем кражи,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ч.2 ст.7.27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мелкое хищение чужого имущества стоимостью более одной тысячи рублей, но не более двух тысяч пятисот рублей путем кражи.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Назн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ачая административное наказание,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учитывает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Чукреевым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Д.И. совершено правонарушение против собственности, он ранее неоднократно привлекался к административной ответственности за нарушение общественного порядка, а также за правонарушения против чужой собственности.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ответственность, является признание вин</w:t>
      </w:r>
      <w:r>
        <w:rPr>
          <w:rFonts w:ascii="Times New Roman" w:eastAsia="Times New Roman" w:hAnsi="Times New Roman" w:cs="Times New Roman"/>
          <w:sz w:val="25"/>
          <w:szCs w:val="25"/>
        </w:rPr>
        <w:t>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раскаян</w:t>
      </w:r>
      <w:r>
        <w:rPr>
          <w:rFonts w:ascii="Times New Roman" w:eastAsia="Times New Roman" w:hAnsi="Times New Roman" w:cs="Times New Roman"/>
          <w:sz w:val="25"/>
          <w:szCs w:val="25"/>
        </w:rPr>
        <w:t>ие в совершенном правонарушении, наличие тяжелого заболевания.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ст.ст.23.1, 29.5, 29.6, 29.10 КоАП РФ, мировой судья,</w:t>
      </w:r>
    </w:p>
    <w:p>
      <w:pPr>
        <w:spacing w:before="0" w:after="0"/>
        <w:ind w:firstLine="709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Чукреева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Дениса Игоревича виновным в совершении административного правонарушения, предусмотренного ч.2 ст.7.27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в размере 3000 руб.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ОКТМО: 71871000, КБК 720 1 16 01073 01 0027 140, УИН 0412365400725012082507113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№3 Ханты-Мансийского судебного района Ханты-Мансийского автономного округа – Югры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ул.Ленина</w:t>
      </w:r>
      <w:r>
        <w:rPr>
          <w:rFonts w:ascii="Times New Roman" w:eastAsia="Times New Roman" w:hAnsi="Times New Roman" w:cs="Times New Roman"/>
          <w:sz w:val="25"/>
          <w:szCs w:val="25"/>
        </w:rPr>
        <w:t>, дом 87/1, каб.101.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Ю.Б. Миненко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 Миненко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0rplc-9">
    <w:name w:val="cat-UserDefined grp-4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